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5BBB" w14:textId="25B0AC2B" w:rsidR="00BD7851" w:rsidRDefault="00B2244A" w:rsidP="00BD7851">
      <w:pPr>
        <w:jc w:val="center"/>
      </w:pPr>
      <w:r>
        <w:rPr>
          <w:noProof/>
        </w:rPr>
        <w:drawing>
          <wp:inline distT="0" distB="0" distL="0" distR="0" wp14:anchorId="05C9B9DD" wp14:editId="6BAF0104">
            <wp:extent cx="2190939" cy="908444"/>
            <wp:effectExtent l="0" t="0" r="0" b="635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401" cy="91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F7635" w14:textId="5E833077" w:rsidR="00BD7851" w:rsidRDefault="002C7C36" w:rsidP="002C7C36">
      <w:pPr>
        <w:pStyle w:val="Default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 w:rsidRPr="002C7C36">
        <w:rPr>
          <w:b/>
        </w:rPr>
        <w:t>CONCUSSION CODE OF CONDUCT</w:t>
      </w:r>
    </w:p>
    <w:p w14:paraId="2BCC962E" w14:textId="77777777" w:rsidR="002C7C36" w:rsidRDefault="002C7C36" w:rsidP="00BD7851">
      <w:pPr>
        <w:pStyle w:val="Default"/>
        <w:rPr>
          <w:b/>
        </w:rPr>
      </w:pPr>
    </w:p>
    <w:p w14:paraId="2B4AA9BC" w14:textId="5D08F28E" w:rsidR="00BD7851" w:rsidRDefault="00BD7851" w:rsidP="00BD78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Rowan’s Law (Bill 193) was given Royal assent on March </w:t>
      </w:r>
      <w:r w:rsidR="007A4617">
        <w:rPr>
          <w:sz w:val="22"/>
          <w:szCs w:val="22"/>
        </w:rPr>
        <w:t>7</w:t>
      </w:r>
      <w:r w:rsidR="007A4617" w:rsidRPr="007A4617">
        <w:rPr>
          <w:sz w:val="22"/>
          <w:szCs w:val="22"/>
          <w:vertAlign w:val="superscript"/>
        </w:rPr>
        <w:t>th</w:t>
      </w:r>
      <w:r w:rsidR="00D75F38">
        <w:rPr>
          <w:sz w:val="22"/>
          <w:szCs w:val="22"/>
        </w:rPr>
        <w:t>, 2018,</w:t>
      </w:r>
      <w:r>
        <w:rPr>
          <w:sz w:val="22"/>
          <w:szCs w:val="22"/>
        </w:rPr>
        <w:t xml:space="preserve"> by the Ontario Legislature. Rowan’s Law imposes various requirements on sport organizations, or entities that carry out amateur competitive sport. </w:t>
      </w:r>
    </w:p>
    <w:p w14:paraId="4288E950" w14:textId="0D73B746" w:rsidR="00BD7851" w:rsidRDefault="00BD7851" w:rsidP="00BD78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These requirements include: </w:t>
      </w:r>
    </w:p>
    <w:p w14:paraId="196B79A8" w14:textId="0B7E79F3" w:rsidR="00BD7851" w:rsidRPr="00BD7851" w:rsidRDefault="00BD7851" w:rsidP="00B2244A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D7851">
        <w:rPr>
          <w:sz w:val="22"/>
          <w:szCs w:val="22"/>
        </w:rPr>
        <w:t xml:space="preserve">Any individual cannot participate in a sports activity unless they confirm they have reviewed the concussion awareness resources approved by the Minister of Tourism, Culture and Sport. </w:t>
      </w:r>
    </w:p>
    <w:p w14:paraId="2DCAF787" w14:textId="66120B0E" w:rsidR="00BD7851" w:rsidRDefault="00BD7851" w:rsidP="00B2244A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D7851">
        <w:rPr>
          <w:sz w:val="22"/>
          <w:szCs w:val="22"/>
        </w:rPr>
        <w:t>Individuals must confirm they have reviewed the sport organizations Concussion Code of Conduct</w:t>
      </w:r>
      <w:r>
        <w:rPr>
          <w:sz w:val="22"/>
          <w:szCs w:val="22"/>
        </w:rPr>
        <w:t>.</w:t>
      </w:r>
      <w:r w:rsidRPr="00BD7851">
        <w:rPr>
          <w:sz w:val="22"/>
          <w:szCs w:val="22"/>
        </w:rPr>
        <w:t xml:space="preserve"> </w:t>
      </w:r>
    </w:p>
    <w:p w14:paraId="0E632AF5" w14:textId="77777777" w:rsidR="00BD7851" w:rsidRPr="00BD7851" w:rsidRDefault="00BD7851" w:rsidP="00BD7851">
      <w:pPr>
        <w:pStyle w:val="Default"/>
        <w:rPr>
          <w:sz w:val="22"/>
          <w:szCs w:val="22"/>
        </w:rPr>
      </w:pPr>
    </w:p>
    <w:p w14:paraId="5E86B907" w14:textId="0C2DC4F0" w:rsidR="00BD7851" w:rsidRDefault="00BD7851" w:rsidP="00BD78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accordance with Rowan’s Law, the Ontario Collegiate Recreation board has developed a Code of Conduct for participants and staff of organized recreational programs to read and follow. The Ontario Collegiate Recreation board has a </w:t>
      </w:r>
      <w:r>
        <w:rPr>
          <w:b/>
          <w:bCs/>
          <w:i/>
          <w:iCs/>
          <w:sz w:val="22"/>
          <w:szCs w:val="22"/>
        </w:rPr>
        <w:t xml:space="preserve">ZERO </w:t>
      </w:r>
      <w:r>
        <w:rPr>
          <w:sz w:val="22"/>
          <w:szCs w:val="22"/>
        </w:rPr>
        <w:t xml:space="preserve">tolerance policy for dangerous behaviors which are considered high risk for causing concussion or head injuries. The following expectations are required by our intramural athletes, </w:t>
      </w:r>
      <w:proofErr w:type="gramStart"/>
      <w:r>
        <w:rPr>
          <w:sz w:val="22"/>
          <w:szCs w:val="22"/>
        </w:rPr>
        <w:t>conveners</w:t>
      </w:r>
      <w:proofErr w:type="gramEnd"/>
      <w:r>
        <w:rPr>
          <w:sz w:val="22"/>
          <w:szCs w:val="22"/>
        </w:rPr>
        <w:t xml:space="preserve"> and staff at Ontario Colleges. </w:t>
      </w:r>
    </w:p>
    <w:p w14:paraId="71752A37" w14:textId="6577D60D" w:rsidR="00BD7851" w:rsidRDefault="00BD7851" w:rsidP="00B2244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Individuals are expected to self-report any symptoms of a concussion or mechanism of injury to the sport’s convener for immediate removal of play</w:t>
      </w:r>
    </w:p>
    <w:p w14:paraId="36E176AB" w14:textId="72B0D296" w:rsidR="00BD7851" w:rsidRDefault="00BD7851" w:rsidP="00B2244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Athletes are expected to look out for their teammates by reporting any suspected or confirmed concussion symptoms of a teammate to the sport’s convener or supervisor</w:t>
      </w:r>
    </w:p>
    <w:p w14:paraId="02924D2D" w14:textId="048BC5BF" w:rsidR="00BD7851" w:rsidRDefault="00BD7851" w:rsidP="00B2244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Athletes are expected to respect athletes that are in a vulnerable position, and to avoid contact with said person whenever possible </w:t>
      </w:r>
    </w:p>
    <w:p w14:paraId="41A75CAA" w14:textId="012DF09B" w:rsidR="00BD7851" w:rsidRDefault="00BD7851" w:rsidP="00B2244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Uphold the rules of the sport, spirit of such rules and encourage other athletes to do the same </w:t>
      </w:r>
    </w:p>
    <w:p w14:paraId="4C9AAAC5" w14:textId="5A7410F8" w:rsidR="00BD7851" w:rsidRDefault="00BD7851" w:rsidP="00B2244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Athletes are expected to seek medical attention from a physician when experiencing concussion symptoms</w:t>
      </w:r>
    </w:p>
    <w:p w14:paraId="64961D35" w14:textId="31BBEFCF" w:rsidR="00BD7851" w:rsidRDefault="00BD7851" w:rsidP="00B2244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Individuals are expected to be completely honest to themselves and physicians about how they are feeling both during assessment and follow up appointments </w:t>
      </w:r>
    </w:p>
    <w:p w14:paraId="6DEB6BB1" w14:textId="11EBA4DB" w:rsidR="00BD7851" w:rsidRDefault="00BD7851" w:rsidP="00B2244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Athletes are expected not to return to organized recreational activity until cleared by a physician</w:t>
      </w:r>
    </w:p>
    <w:p w14:paraId="7B8F65A6" w14:textId="77777777" w:rsidR="00BD7851" w:rsidRDefault="00BD7851" w:rsidP="00BD7851">
      <w:pPr>
        <w:pStyle w:val="Default"/>
        <w:rPr>
          <w:sz w:val="22"/>
          <w:szCs w:val="22"/>
        </w:rPr>
      </w:pPr>
    </w:p>
    <w:p w14:paraId="473B975A" w14:textId="16492E79" w:rsidR="00BD7851" w:rsidRDefault="00BD7851" w:rsidP="00BD785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 have read and understand the statements in the Concussion Code of Conduct and agree to conduct myself in a manner that demonstrates the established standards set by the Ontario Collegiate Recreation board.</w:t>
      </w:r>
    </w:p>
    <w:p w14:paraId="1088A55C" w14:textId="77777777" w:rsidR="00B2244A" w:rsidRDefault="00B2244A" w:rsidP="00BD7851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360"/>
        <w:gridCol w:w="360"/>
        <w:gridCol w:w="450"/>
        <w:gridCol w:w="3168"/>
        <w:gridCol w:w="750"/>
        <w:gridCol w:w="2242"/>
      </w:tblGrid>
      <w:tr w:rsidR="001F1347" w14:paraId="660716B5" w14:textId="6F0632BD" w:rsidTr="007A4617">
        <w:trPr>
          <w:trHeight w:val="504"/>
        </w:trPr>
        <w:tc>
          <w:tcPr>
            <w:tcW w:w="2425" w:type="dxa"/>
            <w:gridSpan w:val="2"/>
            <w:vAlign w:val="bottom"/>
          </w:tcPr>
          <w:p w14:paraId="310FBB5F" w14:textId="09CE1BD3" w:rsidR="001F1347" w:rsidRDefault="001F1347" w:rsidP="001F1347">
            <w:pPr>
              <w:pStyle w:val="Default"/>
              <w:rPr>
                <w:bCs/>
                <w:sz w:val="22"/>
                <w:szCs w:val="22"/>
              </w:rPr>
            </w:pPr>
            <w:r w:rsidRPr="00AE080E">
              <w:rPr>
                <w:bCs/>
                <w:sz w:val="22"/>
                <w:szCs w:val="22"/>
              </w:rPr>
              <w:t>Name of Student (Print)</w:t>
            </w:r>
          </w:p>
        </w:tc>
        <w:tc>
          <w:tcPr>
            <w:tcW w:w="3978" w:type="dxa"/>
            <w:gridSpan w:val="3"/>
            <w:tcBorders>
              <w:bottom w:val="single" w:sz="4" w:space="0" w:color="auto"/>
            </w:tcBorders>
            <w:vAlign w:val="bottom"/>
          </w:tcPr>
          <w:p w14:paraId="4393E714" w14:textId="77777777" w:rsidR="001F1347" w:rsidRDefault="001F1347" w:rsidP="001F1347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750" w:type="dxa"/>
            <w:vAlign w:val="bottom"/>
          </w:tcPr>
          <w:p w14:paraId="1C14D39E" w14:textId="77777777" w:rsidR="001F1347" w:rsidRDefault="001F1347" w:rsidP="001F1347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242" w:type="dxa"/>
            <w:vAlign w:val="bottom"/>
          </w:tcPr>
          <w:p w14:paraId="5BD55FA4" w14:textId="77777777" w:rsidR="001F1347" w:rsidRDefault="001F1347" w:rsidP="001F1347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1F1347" w14:paraId="4CA36FA2" w14:textId="19108EBB" w:rsidTr="007A4617">
        <w:trPr>
          <w:trHeight w:val="504"/>
        </w:trPr>
        <w:tc>
          <w:tcPr>
            <w:tcW w:w="2065" w:type="dxa"/>
            <w:vAlign w:val="bottom"/>
          </w:tcPr>
          <w:p w14:paraId="38FF1471" w14:textId="100C6381" w:rsidR="001F1347" w:rsidRDefault="001F1347" w:rsidP="001F1347">
            <w:pPr>
              <w:pStyle w:val="Default"/>
              <w:rPr>
                <w:bCs/>
                <w:sz w:val="22"/>
                <w:szCs w:val="22"/>
              </w:rPr>
            </w:pPr>
            <w:r w:rsidRPr="00AE080E">
              <w:rPr>
                <w:bCs/>
                <w:sz w:val="22"/>
                <w:szCs w:val="22"/>
              </w:rPr>
              <w:t>Signature of Student</w:t>
            </w:r>
          </w:p>
        </w:tc>
        <w:tc>
          <w:tcPr>
            <w:tcW w:w="4338" w:type="dxa"/>
            <w:gridSpan w:val="4"/>
            <w:tcBorders>
              <w:bottom w:val="single" w:sz="4" w:space="0" w:color="auto"/>
            </w:tcBorders>
            <w:vAlign w:val="bottom"/>
          </w:tcPr>
          <w:p w14:paraId="2CC0021A" w14:textId="77777777" w:rsidR="001F1347" w:rsidRDefault="001F1347" w:rsidP="001F1347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750" w:type="dxa"/>
            <w:vAlign w:val="bottom"/>
          </w:tcPr>
          <w:p w14:paraId="5D1D6B1F" w14:textId="000D3FBA" w:rsidR="001F1347" w:rsidRDefault="001F1347" w:rsidP="004C30CF">
            <w:pPr>
              <w:pStyle w:val="Default"/>
              <w:jc w:val="right"/>
              <w:rPr>
                <w:bCs/>
                <w:sz w:val="22"/>
                <w:szCs w:val="22"/>
              </w:rPr>
            </w:pPr>
            <w:r w:rsidRPr="00AE080E"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bottom"/>
          </w:tcPr>
          <w:p w14:paraId="2B40606B" w14:textId="77777777" w:rsidR="001F1347" w:rsidRPr="00AE080E" w:rsidRDefault="001F1347" w:rsidP="001F1347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1F1347" w14:paraId="1A22EF79" w14:textId="531E6D90" w:rsidTr="007A4617">
        <w:trPr>
          <w:trHeight w:val="504"/>
        </w:trPr>
        <w:tc>
          <w:tcPr>
            <w:tcW w:w="2785" w:type="dxa"/>
            <w:gridSpan w:val="3"/>
            <w:vAlign w:val="bottom"/>
          </w:tcPr>
          <w:p w14:paraId="06DA5330" w14:textId="35CA87A6" w:rsidR="001F1347" w:rsidRDefault="001F1347" w:rsidP="001F1347">
            <w:pPr>
              <w:pStyle w:val="Default"/>
              <w:rPr>
                <w:bCs/>
                <w:sz w:val="22"/>
                <w:szCs w:val="22"/>
              </w:rPr>
            </w:pPr>
            <w:r w:rsidRPr="00AE080E">
              <w:rPr>
                <w:bCs/>
                <w:sz w:val="22"/>
                <w:szCs w:val="22"/>
              </w:rPr>
              <w:t>Name of Parent (if under 18)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B5FCEF" w14:textId="77777777" w:rsidR="001F1347" w:rsidRDefault="001F1347" w:rsidP="001F1347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750" w:type="dxa"/>
            <w:vAlign w:val="bottom"/>
          </w:tcPr>
          <w:p w14:paraId="60B4FB8B" w14:textId="77777777" w:rsidR="001F1347" w:rsidRDefault="001F1347" w:rsidP="001F1347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  <w:vAlign w:val="bottom"/>
          </w:tcPr>
          <w:p w14:paraId="515E1191" w14:textId="77777777" w:rsidR="001F1347" w:rsidRDefault="001F1347" w:rsidP="001F1347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1F1347" w14:paraId="2040223B" w14:textId="662E638B" w:rsidTr="007A4617">
        <w:trPr>
          <w:trHeight w:val="504"/>
        </w:trPr>
        <w:tc>
          <w:tcPr>
            <w:tcW w:w="3235" w:type="dxa"/>
            <w:gridSpan w:val="4"/>
            <w:vAlign w:val="bottom"/>
          </w:tcPr>
          <w:p w14:paraId="4949AA15" w14:textId="5A8BDD82" w:rsidR="001F1347" w:rsidRDefault="001F1347" w:rsidP="001F1347">
            <w:pPr>
              <w:pStyle w:val="Default"/>
              <w:rPr>
                <w:bCs/>
                <w:sz w:val="22"/>
                <w:szCs w:val="22"/>
              </w:rPr>
            </w:pPr>
            <w:r w:rsidRPr="00AE080E">
              <w:rPr>
                <w:bCs/>
                <w:sz w:val="22"/>
                <w:szCs w:val="22"/>
              </w:rPr>
              <w:t>Signature of Parent (if under 18)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0EB927" w14:textId="77777777" w:rsidR="001F1347" w:rsidRDefault="001F1347" w:rsidP="001F1347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750" w:type="dxa"/>
            <w:vAlign w:val="bottom"/>
          </w:tcPr>
          <w:p w14:paraId="11E1D8A0" w14:textId="108C00CE" w:rsidR="001F1347" w:rsidRDefault="001F1347" w:rsidP="004C30CF">
            <w:pPr>
              <w:pStyle w:val="Default"/>
              <w:jc w:val="right"/>
              <w:rPr>
                <w:bCs/>
                <w:sz w:val="22"/>
                <w:szCs w:val="22"/>
              </w:rPr>
            </w:pPr>
            <w:r w:rsidRPr="00AE080E"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bottom"/>
          </w:tcPr>
          <w:p w14:paraId="1CADC6D5" w14:textId="77777777" w:rsidR="001F1347" w:rsidRDefault="001F1347" w:rsidP="001F1347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14:paraId="0C853C4D" w14:textId="77777777" w:rsidR="00BD7851" w:rsidRPr="00AE080E" w:rsidRDefault="00BD7851" w:rsidP="00BD7851">
      <w:pPr>
        <w:pStyle w:val="Default"/>
        <w:rPr>
          <w:bCs/>
          <w:sz w:val="22"/>
          <w:szCs w:val="22"/>
        </w:rPr>
      </w:pPr>
    </w:p>
    <w:sectPr w:rsidR="00BD7851" w:rsidRPr="00AE080E" w:rsidSect="00B2244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7124"/>
    <w:multiLevelType w:val="hybridMultilevel"/>
    <w:tmpl w:val="18364A38"/>
    <w:lvl w:ilvl="0" w:tplc="CAE685C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B7259"/>
    <w:multiLevelType w:val="hybridMultilevel"/>
    <w:tmpl w:val="475E67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C7D02"/>
    <w:multiLevelType w:val="hybridMultilevel"/>
    <w:tmpl w:val="377E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B19A3"/>
    <w:multiLevelType w:val="hybridMultilevel"/>
    <w:tmpl w:val="4ED82B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51"/>
    <w:rsid w:val="000B0839"/>
    <w:rsid w:val="001F1347"/>
    <w:rsid w:val="002C7C36"/>
    <w:rsid w:val="004C30CF"/>
    <w:rsid w:val="007A4617"/>
    <w:rsid w:val="00B2244A"/>
    <w:rsid w:val="00BD7851"/>
    <w:rsid w:val="00D75F38"/>
    <w:rsid w:val="00DE1062"/>
    <w:rsid w:val="00E3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576A"/>
  <w15:chartTrackingRefBased/>
  <w15:docId w15:val="{0F9EC0FE-CB06-49A9-ADB7-80FC9C9B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78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E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1953</Characters>
  <Application>Microsoft Office Word</Application>
  <DocSecurity>0</DocSecurity>
  <Lines>130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Conestoga College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Bolliger</dc:creator>
  <cp:keywords/>
  <dc:description/>
  <cp:lastModifiedBy>Joanna Stapleton-Elasmar</cp:lastModifiedBy>
  <cp:revision>2</cp:revision>
  <dcterms:created xsi:type="dcterms:W3CDTF">2022-04-05T18:56:00Z</dcterms:created>
  <dcterms:modified xsi:type="dcterms:W3CDTF">2022-04-05T18:56:00Z</dcterms:modified>
</cp:coreProperties>
</file>